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81856" w14:textId="34F41EDF" w:rsidR="005F3DC1" w:rsidRPr="005F3DC1" w:rsidRDefault="00EF7679" w:rsidP="005F3DC1">
      <w:pPr>
        <w:rPr>
          <w:i/>
        </w:rPr>
      </w:pPr>
      <w:bookmarkStart w:id="0" w:name="_GoBack"/>
      <w:bookmarkEnd w:id="0"/>
      <w:r>
        <w:rPr>
          <w:noProof/>
        </w:rPr>
        <mc:AlternateContent>
          <mc:Choice Requires="wps">
            <w:drawing>
              <wp:anchor distT="0" distB="0" distL="114300" distR="114300" simplePos="0" relativeHeight="251665408" behindDoc="0" locked="0" layoutInCell="1" allowOverlap="1" wp14:anchorId="6B989037" wp14:editId="4EF66744">
                <wp:simplePos x="0" y="0"/>
                <wp:positionH relativeFrom="column">
                  <wp:posOffset>22860</wp:posOffset>
                </wp:positionH>
                <wp:positionV relativeFrom="paragraph">
                  <wp:posOffset>4978400</wp:posOffset>
                </wp:positionV>
                <wp:extent cx="67945" cy="1414780"/>
                <wp:effectExtent l="0" t="0" r="8255" b="7620"/>
                <wp:wrapThrough wrapText="bothSides">
                  <wp:wrapPolygon edited="0">
                    <wp:start x="0" y="0"/>
                    <wp:lineTo x="0" y="21329"/>
                    <wp:lineTo x="16150" y="21329"/>
                    <wp:lineTo x="16150" y="0"/>
                    <wp:lineTo x="0" y="0"/>
                  </wp:wrapPolygon>
                </wp:wrapThrough>
                <wp:docPr id="8" name="Rectangle 8"/>
                <wp:cNvGraphicFramePr/>
                <a:graphic xmlns:a="http://schemas.openxmlformats.org/drawingml/2006/main">
                  <a:graphicData uri="http://schemas.microsoft.com/office/word/2010/wordprocessingShape">
                    <wps:wsp>
                      <wps:cNvSpPr/>
                      <wps:spPr>
                        <a:xfrm>
                          <a:off x="0" y="0"/>
                          <a:ext cx="67945" cy="1414780"/>
                        </a:xfrm>
                        <a:prstGeom prst="rect">
                          <a:avLst/>
                        </a:prstGeom>
                        <a:solidFill>
                          <a:srgbClr val="23705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D7DFF" id="Rectangle 8" o:spid="_x0000_s1026" style="position:absolute;margin-left:1.8pt;margin-top:392pt;width:5.35pt;height:11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" fillcolor="#237055" stroked="f" strokeweight="1pt">
                <w10:wrap type="through"/>
              </v:rect>
            </w:pict>
          </mc:Fallback>
        </mc:AlternateContent>
      </w:r>
      <w:r>
        <w:rPr>
          <w:noProof/>
        </w:rPr>
        <mc:AlternateContent>
          <mc:Choice Requires="wps">
            <w:drawing>
              <wp:anchor distT="0" distB="0" distL="114300" distR="114300" simplePos="0" relativeHeight="251661312" behindDoc="0" locked="0" layoutInCell="1" allowOverlap="1" wp14:anchorId="7B9B240C" wp14:editId="145122B0">
                <wp:simplePos x="0" y="0"/>
                <wp:positionH relativeFrom="column">
                  <wp:posOffset>-10795</wp:posOffset>
                </wp:positionH>
                <wp:positionV relativeFrom="paragraph">
                  <wp:posOffset>2904490</wp:posOffset>
                </wp:positionV>
                <wp:extent cx="6858000" cy="807720"/>
                <wp:effectExtent l="0" t="0" r="0" b="5080"/>
                <wp:wrapSquare wrapText="bothSides"/>
                <wp:docPr id="2" name="Text Box 2"/>
                <wp:cNvGraphicFramePr/>
                <a:graphic xmlns:a="http://schemas.openxmlformats.org/drawingml/2006/main">
                  <a:graphicData uri="http://schemas.microsoft.com/office/word/2010/wordprocessingShape">
                    <wps:wsp>
                      <wps:cNvSpPr txBox="1"/>
                      <wps:spPr>
                        <a:xfrm>
                          <a:off x="0" y="0"/>
                          <a:ext cx="6858000" cy="807720"/>
                        </a:xfrm>
                        <a:prstGeom prst="rect">
                          <a:avLst/>
                        </a:prstGeom>
                        <a:noFill/>
                        <a:ln>
                          <a:noFill/>
                        </a:ln>
                        <a:effectLst/>
                      </wps:spPr>
                      <wps:txbx>
                        <w:txbxContent>
                          <w:p w14:paraId="3C9FF8D2" w14:textId="77777777" w:rsidR="007E1ED0" w:rsidRPr="00EF7679" w:rsidRDefault="007E1ED0" w:rsidP="007E1ED0">
                            <w:pPr>
                              <w:pStyle w:val="Heading2"/>
                              <w:spacing w:before="0" w:line="240" w:lineRule="auto"/>
                              <w:rPr>
                                <w:b/>
                                <w:sz w:val="36"/>
                                <w:szCs w:val="36"/>
                              </w:rPr>
                            </w:pPr>
                            <w:r w:rsidRPr="00EF7679">
                              <w:rPr>
                                <w:b/>
                                <w:sz w:val="36"/>
                                <w:szCs w:val="36"/>
                              </w:rPr>
                              <w:t>THE IRA CHARITABLE ROLLOVER</w:t>
                            </w:r>
                          </w:p>
                          <w:p w14:paraId="60197524" w14:textId="77777777" w:rsidR="007E1ED0" w:rsidRPr="00EF7679" w:rsidRDefault="007E1ED0" w:rsidP="007E1ED0">
                            <w:pPr>
                              <w:spacing w:line="240" w:lineRule="auto"/>
                              <w:rPr>
                                <w:rFonts w:cstheme="majorHAnsi"/>
                                <w:color w:val="808080" w:themeColor="background1" w:themeShade="80"/>
                                <w:spacing w:val="-20"/>
                                <w:sz w:val="72"/>
                                <w:szCs w:val="72"/>
                              </w:rPr>
                            </w:pPr>
                            <w:r w:rsidRPr="00EF7679">
                              <w:rPr>
                                <w:rFonts w:cstheme="majorHAnsi"/>
                                <w:color w:val="808080" w:themeColor="background1" w:themeShade="80"/>
                                <w:spacing w:val="-20"/>
                                <w:sz w:val="72"/>
                                <w:szCs w:val="72"/>
                              </w:rPr>
                              <w:t>Unique Giving Strategy Saves on Taxes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9B240C" id="_x0000_t202" coordsize="21600,21600" o:spt="202" path="m0,0l0,21600,21600,21600,21600,0xe">
                <v:stroke joinstyle="miter"/>
                <v:path gradientshapeok="t" o:connecttype="rect"/>
              </v:shapetype>
              <v:shape id="Text Box 2" o:spid="_x0000_s1026" type="#_x0000_t202" style="position:absolute;margin-left:-.85pt;margin-top:228.7pt;width:540pt;height:6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" filled="f" stroked="f">
                <v:fill o:detectmouseclick="t"/>
                <v:textbox inset="0,0,0,0">
                  <w:txbxContent>
                    <w:p w14:paraId="3C9FF8D2" w14:textId="77777777" w:rsidR="007E1ED0" w:rsidRPr="00EF7679" w:rsidRDefault="007E1ED0" w:rsidP="007E1ED0">
                      <w:pPr>
                        <w:pStyle w:val="Heading2"/>
                        <w:spacing w:before="0" w:line="240" w:lineRule="auto"/>
                        <w:rPr>
                          <w:b/>
                          <w:sz w:val="36"/>
                          <w:szCs w:val="36"/>
                        </w:rPr>
                      </w:pPr>
                      <w:r w:rsidRPr="00EF7679">
                        <w:rPr>
                          <w:b/>
                          <w:sz w:val="36"/>
                          <w:szCs w:val="36"/>
                        </w:rPr>
                        <w:t>THE IRA CHARITABLE ROLLOVER</w:t>
                      </w:r>
                    </w:p>
                    <w:p w14:paraId="60197524" w14:textId="77777777" w:rsidR="007E1ED0" w:rsidRPr="00EF7679" w:rsidRDefault="007E1ED0" w:rsidP="007E1ED0">
                      <w:pPr>
                        <w:spacing w:line="240" w:lineRule="auto"/>
                        <w:rPr>
                          <w:rFonts w:cstheme="majorHAnsi"/>
                          <w:color w:val="808080" w:themeColor="background1" w:themeShade="80"/>
                          <w:spacing w:val="-20"/>
                          <w:sz w:val="72"/>
                          <w:szCs w:val="72"/>
                        </w:rPr>
                      </w:pPr>
                      <w:r w:rsidRPr="00EF7679">
                        <w:rPr>
                          <w:rFonts w:cstheme="majorHAnsi"/>
                          <w:color w:val="808080" w:themeColor="background1" w:themeShade="80"/>
                          <w:spacing w:val="-20"/>
                          <w:sz w:val="72"/>
                          <w:szCs w:val="72"/>
                        </w:rPr>
                        <w:t>Unique Giving Strategy Saves on Taxes</w:t>
                      </w:r>
                    </w:p>
                  </w:txbxContent>
                </v:textbox>
                <w10:wrap type="square"/>
              </v:shape>
            </w:pict>
          </mc:Fallback>
        </mc:AlternateContent>
      </w:r>
      <w:r w:rsidR="00341B03">
        <w:rPr>
          <w:noProof/>
        </w:rPr>
        <mc:AlternateContent>
          <mc:Choice Requires="wps">
            <w:drawing>
              <wp:anchor distT="0" distB="0" distL="114300" distR="114300" simplePos="0" relativeHeight="251664384" behindDoc="0" locked="0" layoutInCell="1" allowOverlap="1" wp14:anchorId="11778A56" wp14:editId="56FA4B25">
                <wp:simplePos x="0" y="0"/>
                <wp:positionH relativeFrom="column">
                  <wp:posOffset>84455</wp:posOffset>
                </wp:positionH>
                <wp:positionV relativeFrom="paragraph">
                  <wp:posOffset>9013869</wp:posOffset>
                </wp:positionV>
                <wp:extent cx="6858000" cy="1270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6858000" cy="127000"/>
                        </a:xfrm>
                        <a:prstGeom prst="rect">
                          <a:avLst/>
                        </a:prstGeom>
                        <a:noFill/>
                        <a:ln>
                          <a:noFill/>
                        </a:ln>
                        <a:effectLst/>
                      </wps:spPr>
                      <wps:txbx>
                        <w:txbxContent>
                          <w:p w14:paraId="7BB008B9" w14:textId="77777777" w:rsidR="00341B03" w:rsidRPr="00341B03" w:rsidRDefault="00341B03" w:rsidP="00762B20">
                            <w:pPr>
                              <w:rPr>
                                <w:i/>
                                <w:sz w:val="18"/>
                                <w:szCs w:val="18"/>
                              </w:rPr>
                            </w:pPr>
                            <w:r w:rsidRPr="00341B03">
                              <w:rPr>
                                <w:i/>
                                <w:sz w:val="18"/>
                                <w:szCs w:val="18"/>
                              </w:rPr>
                              <w:t>This information is not legal, tax or financial advice. Please consult your professional advisors before making any financial decisions.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78A56" id="Text Box 7" o:spid="_x0000_s1027" type="#_x0000_t202" style="position:absolute;margin-left:6.65pt;margin-top:709.75pt;width:540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" filled="f" stroked="f">
                <v:fill o:detectmouseclick="t"/>
                <v:textbox inset="0,0,0,0">
                  <w:txbxContent>
                    <w:p w14:paraId="7BB008B9" w14:textId="77777777" w:rsidR="00341B03" w:rsidRPr="00341B03" w:rsidRDefault="00341B03" w:rsidP="00762B20">
                      <w:pPr>
                        <w:rPr>
                          <w:i/>
                          <w:sz w:val="18"/>
                          <w:szCs w:val="18"/>
                        </w:rPr>
                      </w:pPr>
                      <w:r w:rsidRPr="00341B03">
                        <w:rPr>
                          <w:i/>
                          <w:sz w:val="18"/>
                          <w:szCs w:val="18"/>
                        </w:rPr>
                        <w:t>This information is not legal, tax or financial advice. Please consult your professional advisors before making any financial decisions.</w:t>
                      </w:r>
                    </w:p>
                  </w:txbxContent>
                </v:textbox>
                <w10:wrap type="square"/>
              </v:shape>
            </w:pict>
          </mc:Fallback>
        </mc:AlternateContent>
      </w:r>
      <w:r w:rsidR="00341B03">
        <w:rPr>
          <w:noProof/>
        </w:rPr>
        <mc:AlternateContent>
          <mc:Choice Requires="wps">
            <w:drawing>
              <wp:anchor distT="0" distB="0" distL="114300" distR="114300" simplePos="0" relativeHeight="251659264" behindDoc="0" locked="0" layoutInCell="1" allowOverlap="1" wp14:anchorId="2BEFCB3C" wp14:editId="022EA3E1">
                <wp:simplePos x="0" y="0"/>
                <wp:positionH relativeFrom="column">
                  <wp:posOffset>20955</wp:posOffset>
                </wp:positionH>
                <wp:positionV relativeFrom="paragraph">
                  <wp:posOffset>3987165</wp:posOffset>
                </wp:positionV>
                <wp:extent cx="6857365" cy="4337685"/>
                <wp:effectExtent l="0" t="0" r="635" b="5715"/>
                <wp:wrapSquare wrapText="bothSides"/>
                <wp:docPr id="1" name="Text Box 1"/>
                <wp:cNvGraphicFramePr/>
                <a:graphic xmlns:a="http://schemas.openxmlformats.org/drawingml/2006/main">
                  <a:graphicData uri="http://schemas.microsoft.com/office/word/2010/wordprocessingShape">
                    <wps:wsp>
                      <wps:cNvSpPr txBox="1"/>
                      <wps:spPr>
                        <a:xfrm>
                          <a:off x="0" y="0"/>
                          <a:ext cx="6857365" cy="4337685"/>
                        </a:xfrm>
                        <a:prstGeom prst="rect">
                          <a:avLst/>
                        </a:prstGeom>
                        <a:noFill/>
                        <a:ln>
                          <a:noFill/>
                        </a:ln>
                        <a:effectLst/>
                      </wps:spPr>
                      <wps:txbx>
                        <w:txbxContent>
                          <w:p w14:paraId="5B8FEC54" w14:textId="77777777" w:rsidR="007B236D" w:rsidRPr="005F3DC1" w:rsidRDefault="007B236D" w:rsidP="005F3DC1">
                            <w:r w:rsidRPr="005F3DC1">
                              <w:t xml:space="preserve">The IRA Charitable Rollover allows donors age 70½ or older to annually move up to $100,000 from their IRAs directly to qualified charities in 2019 without owing any income tax on the money. Donors to </w:t>
                            </w:r>
                            <w:r w:rsidRPr="00FE2B5C">
                              <w:fldChar w:fldCharType="begin">
                                <w:ffData>
                                  <w:name w:val="Text4"/>
                                  <w:enabled/>
                                  <w:calcOnExit w:val="0"/>
                                  <w:textInput>
                                    <w:default w:val="Community Foundation Name"/>
                                  </w:textInput>
                                </w:ffData>
                              </w:fldChar>
                            </w:r>
                            <w:r w:rsidRPr="00FE2B5C">
                              <w:instrText xml:space="preserve"> FORMTEXT </w:instrText>
                            </w:r>
                            <w:r w:rsidRPr="00FE2B5C">
                              <w:fldChar w:fldCharType="separate"/>
                            </w:r>
                            <w:r>
                              <w:rPr>
                                <w:noProof/>
                              </w:rPr>
                              <w:t>Community Foundation Name</w:t>
                            </w:r>
                            <w:r w:rsidRPr="00FE2B5C">
                              <w:fldChar w:fldCharType="end"/>
                            </w:r>
                            <w:r w:rsidRPr="005F3DC1">
                              <w:t xml:space="preserve"> have the rest of the year to use this tax-advantaged giving strategy.</w:t>
                            </w:r>
                          </w:p>
                          <w:p w14:paraId="3B6A2ED4" w14:textId="77777777" w:rsidR="007B236D" w:rsidRPr="005F3DC1" w:rsidRDefault="007B236D" w:rsidP="005F3DC1">
                            <w:pPr>
                              <w:rPr>
                                <w:rFonts w:cstheme="minorHAnsi"/>
                              </w:rPr>
                            </w:pPr>
                            <w:r w:rsidRPr="005F3DC1">
                              <w:rPr>
                                <w:rFonts w:cstheme="minorHAnsi"/>
                              </w:rPr>
                              <w:t xml:space="preserve">Using the IRA charitable rollover </w:t>
                            </w:r>
                            <w:r>
                              <w:rPr>
                                <w:rFonts w:cstheme="minorHAnsi"/>
                              </w:rPr>
                              <w:t xml:space="preserve">has many benefits for donors.  </w:t>
                            </w:r>
                          </w:p>
                          <w:p w14:paraId="73934C76" w14:textId="77777777" w:rsidR="007B236D" w:rsidRPr="005F3DC1" w:rsidRDefault="007B236D" w:rsidP="005F3DC1">
                            <w:pPr>
                              <w:pStyle w:val="BulletList"/>
                            </w:pPr>
                            <w:r w:rsidRPr="005F3DC1">
                              <w:t xml:space="preserve">Donors can transfer up to $100,000 per year directly from a traditional IRA to </w:t>
                            </w:r>
                            <w:r w:rsidRPr="005F3DC1">
                              <w:fldChar w:fldCharType="begin">
                                <w:ffData>
                                  <w:name w:val="Text4"/>
                                  <w:enabled/>
                                  <w:calcOnExit w:val="0"/>
                                  <w:textInput>
                                    <w:default w:val="Community Foundation Name"/>
                                  </w:textInput>
                                </w:ffData>
                              </w:fldChar>
                            </w:r>
                            <w:r w:rsidRPr="005F3DC1">
                              <w:instrText xml:space="preserve"> FORMTEXT </w:instrText>
                            </w:r>
                            <w:r w:rsidRPr="005F3DC1">
                              <w:fldChar w:fldCharType="separate"/>
                            </w:r>
                            <w:r w:rsidRPr="005F3DC1">
                              <w:t>Community Foundation Name</w:t>
                            </w:r>
                            <w:r w:rsidRPr="005F3DC1">
                              <w:fldChar w:fldCharType="end"/>
                            </w:r>
                            <w:r w:rsidRPr="005F3DC1">
                              <w:t xml:space="preserve"> without paying income taxes on the funds transferred.</w:t>
                            </w:r>
                          </w:p>
                          <w:p w14:paraId="74E935B6" w14:textId="77777777" w:rsidR="007B236D" w:rsidRPr="005F3DC1" w:rsidRDefault="007B236D" w:rsidP="005F3DC1">
                            <w:pPr>
                              <w:pStyle w:val="BulletList"/>
                            </w:pPr>
                            <w:r w:rsidRPr="005F3DC1">
                              <w:t xml:space="preserve">For those donors who do not itemize deductions, a gift from an IRA is excluded from reportable income, thus simplifying tax returns. The new tax plan implemented last year with the increase in the standard deduction has no negative impact on the IRA charitable rollover, it only makes it more desirable for donors to use. </w:t>
                            </w:r>
                          </w:p>
                          <w:p w14:paraId="31BE8838" w14:textId="77777777" w:rsidR="007B236D" w:rsidRPr="005F3DC1" w:rsidRDefault="007B236D" w:rsidP="005F3DC1">
                            <w:pPr>
                              <w:pStyle w:val="BulletList"/>
                            </w:pPr>
                            <w:r w:rsidRPr="005F3DC1">
                              <w:t>Direct transfers from an IRA can satisfy the IRS Required Minimum Distribution (RMD).</w:t>
                            </w:r>
                          </w:p>
                          <w:p w14:paraId="757CA4FB" w14:textId="77777777" w:rsidR="007B236D" w:rsidRPr="005F3DC1" w:rsidRDefault="007B236D" w:rsidP="005F3DC1">
                            <w:pPr>
                              <w:pStyle w:val="BulletList"/>
                            </w:pPr>
                            <w:r w:rsidRPr="005F3DC1">
                              <w:t xml:space="preserve">Rollover funds may be used to support any fund in the </w:t>
                            </w:r>
                            <w:r w:rsidRPr="00FE2B5C">
                              <w:fldChar w:fldCharType="begin">
                                <w:ffData>
                                  <w:name w:val="Text4"/>
                                  <w:enabled/>
                                  <w:calcOnExit w:val="0"/>
                                  <w:textInput>
                                    <w:default w:val="Community Foundation Name"/>
                                  </w:textInput>
                                </w:ffData>
                              </w:fldChar>
                            </w:r>
                            <w:r w:rsidRPr="00FE2B5C">
                              <w:instrText xml:space="preserve"> FORMTEXT </w:instrText>
                            </w:r>
                            <w:r w:rsidRPr="00FE2B5C">
                              <w:fldChar w:fldCharType="separate"/>
                            </w:r>
                            <w:r>
                              <w:rPr>
                                <w:noProof/>
                              </w:rPr>
                              <w:t>Community Foundation Name</w:t>
                            </w:r>
                            <w:r w:rsidRPr="00FE2B5C">
                              <w:fldChar w:fldCharType="end"/>
                            </w:r>
                            <w:r w:rsidRPr="005F3DC1">
                              <w:t>, or donors can work with the foundation create a new fund.</w:t>
                            </w:r>
                          </w:p>
                          <w:p w14:paraId="49D22CD1" w14:textId="77777777" w:rsidR="007B236D" w:rsidRPr="005F3DC1" w:rsidRDefault="007B236D" w:rsidP="005F3DC1">
                            <w:pPr>
                              <w:rPr>
                                <w:rFonts w:cstheme="minorHAnsi"/>
                              </w:rPr>
                            </w:pPr>
                            <w:r w:rsidRPr="005F3DC1">
                              <w:rPr>
                                <w:rFonts w:cstheme="minorHAnsi"/>
                              </w:rPr>
                              <w:t>If you qualify for this giving strategy, but it is not appropriate for you to use it in 2019, there is good news. Since this giving strategy was made permanent by federal legislation a few years ago, donors can take advantage of the IRA charitable rollover at any time in subsequent years!</w:t>
                            </w:r>
                          </w:p>
                          <w:p w14:paraId="1F0E1CAE" w14:textId="77777777" w:rsidR="007B236D" w:rsidRPr="005F3DC1" w:rsidRDefault="007B236D" w:rsidP="005F3DC1">
                            <w:pPr>
                              <w:rPr>
                                <w:rFonts w:cstheme="minorHAnsi"/>
                              </w:rPr>
                            </w:pPr>
                            <w:r w:rsidRPr="005F3DC1">
                              <w:rPr>
                                <w:rFonts w:cstheme="minorHAnsi"/>
                              </w:rPr>
                              <w:t>This opportunity only applies to IRAs and no other types of retirement plans.</w:t>
                            </w:r>
                          </w:p>
                          <w:p w14:paraId="7B6EEF03" w14:textId="77777777" w:rsidR="007B236D" w:rsidRPr="005F3DC1" w:rsidRDefault="007B236D" w:rsidP="005F3DC1">
                            <w:pPr>
                              <w:rPr>
                                <w:rFonts w:cstheme="minorHAnsi"/>
                              </w:rPr>
                            </w:pPr>
                            <w:r w:rsidRPr="005F3DC1">
                              <w:rPr>
                                <w:rFonts w:cstheme="minorHAnsi"/>
                              </w:rPr>
                              <w:t xml:space="preserve">We recommend that you contact your IRA administrator and ask for instructions for executing an IRA charitable rollover. If needed, we can provide you with a transfer form that you can send to your administrator to initiate the process for making the rollover gift. </w:t>
                            </w:r>
                          </w:p>
                          <w:p w14:paraId="1268FEFA" w14:textId="01AD4FB1" w:rsidR="007B236D" w:rsidRPr="00341B03" w:rsidRDefault="007B236D" w:rsidP="00762B20">
                            <w:pPr>
                              <w:rPr>
                                <w:rFonts w:cstheme="minorHAnsi"/>
                              </w:rPr>
                            </w:pPr>
                            <w:r w:rsidRPr="005F3DC1">
                              <w:rPr>
                                <w:rFonts w:cstheme="minorHAnsi"/>
                              </w:rPr>
                              <w:t xml:space="preserve">For more information, please contact </w:t>
                            </w:r>
                            <w:r>
                              <w:rPr>
                                <w:rFonts w:cstheme="minorHAnsi"/>
                              </w:rPr>
                              <w:fldChar w:fldCharType="begin">
                                <w:ffData>
                                  <w:name w:val="Text5"/>
                                  <w:enabled/>
                                  <w:calcOnExit w:val="0"/>
                                  <w:textInput>
                                    <w:default w:val="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Name</w:t>
                            </w:r>
                            <w:r>
                              <w:rPr>
                                <w:rFonts w:cstheme="minorHAnsi"/>
                              </w:rPr>
                              <w:fldChar w:fldCharType="end"/>
                            </w:r>
                            <w:r w:rsidRPr="005F3DC1">
                              <w:rPr>
                                <w:rFonts w:cstheme="minorHAnsi"/>
                              </w:rPr>
                              <w:t xml:space="preserve"> by calling </w:t>
                            </w:r>
                            <w:r>
                              <w:rPr>
                                <w:rFonts w:cstheme="minorHAnsi"/>
                              </w:rPr>
                              <w:fldChar w:fldCharType="begin">
                                <w:ffData>
                                  <w:name w:val="Text6"/>
                                  <w:enabled/>
                                  <w:calcOnExit w:val="0"/>
                                  <w:textInput>
                                    <w:default w:val="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Phone Number</w:t>
                            </w:r>
                            <w:r>
                              <w:rPr>
                                <w:rFonts w:cstheme="minorHAnsi"/>
                              </w:rPr>
                              <w:fldChar w:fldCharType="end"/>
                            </w:r>
                            <w:r w:rsidRPr="005F3DC1">
                              <w:rPr>
                                <w:rFonts w:cstheme="minorHAnsi"/>
                              </w:rPr>
                              <w:t xml:space="preserve"> or by e-mail, </w:t>
                            </w:r>
                            <w:r>
                              <w:rPr>
                                <w:rFonts w:cstheme="minorHAnsi"/>
                              </w:rPr>
                              <w:fldChar w:fldCharType="begin">
                                <w:ffData>
                                  <w:name w:val="Text7"/>
                                  <w:enabled/>
                                  <w:calcOnExit w:val="0"/>
                                  <w:textInput>
                                    <w:default w:val="name@organization.org"/>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name@organization.org</w:t>
                            </w:r>
                            <w:r>
                              <w:rPr>
                                <w:rFonts w:cstheme="minorHAnsi"/>
                              </w:rPr>
                              <w:fldChar w:fldCharType="end"/>
                            </w:r>
                            <w:r w:rsidRPr="005F3DC1">
                              <w:rPr>
                                <w:rFonts w:cstheme="minorHAnsi"/>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FCB3C" id="Text Box 1" o:spid="_x0000_s1028" type="#_x0000_t202" style="position:absolute;margin-left:1.65pt;margin-top:313.95pt;width:539.95pt;height:34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" filled="f" stroked="f">
                <v:fill o:detectmouseclick="t"/>
                <v:textbox inset="0,0,0,0">
                  <w:txbxContent>
                    <w:p w14:paraId="5B8FEC54" w14:textId="77777777" w:rsidR="007B236D" w:rsidRPr="005F3DC1" w:rsidRDefault="007B236D" w:rsidP="005F3DC1">
                      <w:r w:rsidRPr="005F3DC1">
                        <w:t xml:space="preserve">The IRA Charitable Rollover allows donors age 70½ or older to annually move up to $100,000 from their IRAs directly to qualified charities in 2019 without owing any income tax on the money. Donors to </w:t>
                      </w:r>
                      <w:r w:rsidRPr="00FE2B5C">
                        <w:fldChar w:fldCharType="begin">
                          <w:ffData>
                            <w:name w:val="Text4"/>
                            <w:enabled/>
                            <w:calcOnExit w:val="0"/>
                            <w:textInput>
                              <w:default w:val="Community Foundation Name"/>
                            </w:textInput>
                          </w:ffData>
                        </w:fldChar>
                      </w:r>
                      <w:r w:rsidRPr="00FE2B5C">
                        <w:instrText xml:space="preserve"> FORMTEXT </w:instrText>
                      </w:r>
                      <w:r w:rsidRPr="00FE2B5C">
                        <w:fldChar w:fldCharType="separate"/>
                      </w:r>
                      <w:r>
                        <w:rPr>
                          <w:noProof/>
                        </w:rPr>
                        <w:t>Community Foundation Name</w:t>
                      </w:r>
                      <w:r w:rsidRPr="00FE2B5C">
                        <w:fldChar w:fldCharType="end"/>
                      </w:r>
                      <w:r w:rsidRPr="005F3DC1">
                        <w:t xml:space="preserve"> have the rest of the year to use this tax-advantaged giving strategy.</w:t>
                      </w:r>
                    </w:p>
                    <w:p w14:paraId="3B6A2ED4" w14:textId="77777777" w:rsidR="007B236D" w:rsidRPr="005F3DC1" w:rsidRDefault="007B236D" w:rsidP="005F3DC1">
                      <w:pPr>
                        <w:rPr>
                          <w:rFonts w:cstheme="minorHAnsi"/>
                        </w:rPr>
                      </w:pPr>
                      <w:r w:rsidRPr="005F3DC1">
                        <w:rPr>
                          <w:rFonts w:cstheme="minorHAnsi"/>
                        </w:rPr>
                        <w:t xml:space="preserve">Using the IRA charitable rollover </w:t>
                      </w:r>
                      <w:r>
                        <w:rPr>
                          <w:rFonts w:cstheme="minorHAnsi"/>
                        </w:rPr>
                        <w:t xml:space="preserve">has many benefits for donors.  </w:t>
                      </w:r>
                    </w:p>
                    <w:p w14:paraId="73934C76" w14:textId="77777777" w:rsidR="007B236D" w:rsidRPr="005F3DC1" w:rsidRDefault="007B236D" w:rsidP="005F3DC1">
                      <w:pPr>
                        <w:pStyle w:val="BulletList"/>
                      </w:pPr>
                      <w:r w:rsidRPr="005F3DC1">
                        <w:t xml:space="preserve">Donors can transfer up to $100,000 per year directly from a traditional IRA to </w:t>
                      </w:r>
                      <w:r w:rsidRPr="005F3DC1">
                        <w:fldChar w:fldCharType="begin">
                          <w:ffData>
                            <w:name w:val="Text4"/>
                            <w:enabled/>
                            <w:calcOnExit w:val="0"/>
                            <w:textInput>
                              <w:default w:val="Community Foundation Name"/>
                            </w:textInput>
                          </w:ffData>
                        </w:fldChar>
                      </w:r>
                      <w:r w:rsidRPr="005F3DC1">
                        <w:instrText xml:space="preserve"> FORMTEXT </w:instrText>
                      </w:r>
                      <w:r w:rsidRPr="005F3DC1">
                        <w:fldChar w:fldCharType="separate"/>
                      </w:r>
                      <w:r w:rsidRPr="005F3DC1">
                        <w:t>Community Foundation Name</w:t>
                      </w:r>
                      <w:r w:rsidRPr="005F3DC1">
                        <w:fldChar w:fldCharType="end"/>
                      </w:r>
                      <w:r w:rsidRPr="005F3DC1">
                        <w:t xml:space="preserve"> without paying income taxes on the funds transferred.</w:t>
                      </w:r>
                    </w:p>
                    <w:p w14:paraId="74E935B6" w14:textId="77777777" w:rsidR="007B236D" w:rsidRPr="005F3DC1" w:rsidRDefault="007B236D" w:rsidP="005F3DC1">
                      <w:pPr>
                        <w:pStyle w:val="BulletList"/>
                      </w:pPr>
                      <w:r w:rsidRPr="005F3DC1">
                        <w:t xml:space="preserve">For those donors who do not itemize deductions, a gift from an IRA is excluded from reportable income, thus simplifying tax returns. The new tax plan implemented last year with the increase in the standard deduction has no negative impact on the IRA charitable rollover, it only makes it more desirable for donors to use. </w:t>
                      </w:r>
                    </w:p>
                    <w:p w14:paraId="31BE8838" w14:textId="77777777" w:rsidR="007B236D" w:rsidRPr="005F3DC1" w:rsidRDefault="007B236D" w:rsidP="005F3DC1">
                      <w:pPr>
                        <w:pStyle w:val="BulletList"/>
                      </w:pPr>
                      <w:r w:rsidRPr="005F3DC1">
                        <w:t>Direct transfers from an IRA can satisfy the IRS Required Minimum Distribution (RMD).</w:t>
                      </w:r>
                    </w:p>
                    <w:p w14:paraId="757CA4FB" w14:textId="77777777" w:rsidR="007B236D" w:rsidRPr="005F3DC1" w:rsidRDefault="007B236D" w:rsidP="005F3DC1">
                      <w:pPr>
                        <w:pStyle w:val="BulletList"/>
                      </w:pPr>
                      <w:r w:rsidRPr="005F3DC1">
                        <w:t xml:space="preserve">Rollover funds may be used to support any fund in the </w:t>
                      </w:r>
                      <w:r w:rsidRPr="00FE2B5C">
                        <w:fldChar w:fldCharType="begin">
                          <w:ffData>
                            <w:name w:val="Text4"/>
                            <w:enabled/>
                            <w:calcOnExit w:val="0"/>
                            <w:textInput>
                              <w:default w:val="Community Foundation Name"/>
                            </w:textInput>
                          </w:ffData>
                        </w:fldChar>
                      </w:r>
                      <w:r w:rsidRPr="00FE2B5C">
                        <w:instrText xml:space="preserve"> FORMTEXT </w:instrText>
                      </w:r>
                      <w:r w:rsidRPr="00FE2B5C">
                        <w:fldChar w:fldCharType="separate"/>
                      </w:r>
                      <w:r>
                        <w:rPr>
                          <w:noProof/>
                        </w:rPr>
                        <w:t>Community Foundation Name</w:t>
                      </w:r>
                      <w:r w:rsidRPr="00FE2B5C">
                        <w:fldChar w:fldCharType="end"/>
                      </w:r>
                      <w:r w:rsidRPr="005F3DC1">
                        <w:t>, or donors can work with the foundation create a new fund.</w:t>
                      </w:r>
                    </w:p>
                    <w:p w14:paraId="49D22CD1" w14:textId="77777777" w:rsidR="007B236D" w:rsidRPr="005F3DC1" w:rsidRDefault="007B236D" w:rsidP="005F3DC1">
                      <w:pPr>
                        <w:rPr>
                          <w:rFonts w:cstheme="minorHAnsi"/>
                        </w:rPr>
                      </w:pPr>
                      <w:r w:rsidRPr="005F3DC1">
                        <w:rPr>
                          <w:rFonts w:cstheme="minorHAnsi"/>
                        </w:rPr>
                        <w:t>If you qualify for this giving strategy, but it is not appropriate for you to use it in 2019, there is good news. Since this giving strategy was made permanent by federal legislation a few years ago, donors can take advantage of the IRA charitable rollover at any time in subsequent years!</w:t>
                      </w:r>
                    </w:p>
                    <w:p w14:paraId="1F0E1CAE" w14:textId="77777777" w:rsidR="007B236D" w:rsidRPr="005F3DC1" w:rsidRDefault="007B236D" w:rsidP="005F3DC1">
                      <w:pPr>
                        <w:rPr>
                          <w:rFonts w:cstheme="minorHAnsi"/>
                        </w:rPr>
                      </w:pPr>
                      <w:r w:rsidRPr="005F3DC1">
                        <w:rPr>
                          <w:rFonts w:cstheme="minorHAnsi"/>
                        </w:rPr>
                        <w:t>This opportunity only applies to IRAs and no other types of retirement plans.</w:t>
                      </w:r>
                    </w:p>
                    <w:p w14:paraId="7B6EEF03" w14:textId="77777777" w:rsidR="007B236D" w:rsidRPr="005F3DC1" w:rsidRDefault="007B236D" w:rsidP="005F3DC1">
                      <w:pPr>
                        <w:rPr>
                          <w:rFonts w:cstheme="minorHAnsi"/>
                        </w:rPr>
                      </w:pPr>
                      <w:r w:rsidRPr="005F3DC1">
                        <w:rPr>
                          <w:rFonts w:cstheme="minorHAnsi"/>
                        </w:rPr>
                        <w:t xml:space="preserve">We recommend that you contact your IRA administrator and ask for instructions for executing an IRA charitable rollover. If needed, we can provide you with a transfer form that you can send to your administrator to initiate the process for making the rollover gift. </w:t>
                      </w:r>
                    </w:p>
                    <w:p w14:paraId="1268FEFA" w14:textId="01AD4FB1" w:rsidR="007B236D" w:rsidRPr="00341B03" w:rsidRDefault="007B236D" w:rsidP="00762B20">
                      <w:pPr>
                        <w:rPr>
                          <w:rFonts w:cstheme="minorHAnsi"/>
                        </w:rPr>
                      </w:pPr>
                      <w:r w:rsidRPr="005F3DC1">
                        <w:rPr>
                          <w:rFonts w:cstheme="minorHAnsi"/>
                        </w:rPr>
                        <w:t xml:space="preserve">For more information, please contact </w:t>
                      </w:r>
                      <w:r>
                        <w:rPr>
                          <w:rFonts w:cstheme="minorHAnsi"/>
                        </w:rPr>
                        <w:fldChar w:fldCharType="begin">
                          <w:ffData>
                            <w:name w:val="Text5"/>
                            <w:enabled/>
                            <w:calcOnExit w:val="0"/>
                            <w:textInput>
                              <w:default w:val="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Name</w:t>
                      </w:r>
                      <w:r>
                        <w:rPr>
                          <w:rFonts w:cstheme="minorHAnsi"/>
                        </w:rPr>
                        <w:fldChar w:fldCharType="end"/>
                      </w:r>
                      <w:r w:rsidRPr="005F3DC1">
                        <w:rPr>
                          <w:rFonts w:cstheme="minorHAnsi"/>
                        </w:rPr>
                        <w:t xml:space="preserve"> by calling </w:t>
                      </w:r>
                      <w:r>
                        <w:rPr>
                          <w:rFonts w:cstheme="minorHAnsi"/>
                        </w:rPr>
                        <w:fldChar w:fldCharType="begin">
                          <w:ffData>
                            <w:name w:val="Text6"/>
                            <w:enabled/>
                            <w:calcOnExit w:val="0"/>
                            <w:textInput>
                              <w:default w:val="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Phone Number</w:t>
                      </w:r>
                      <w:r>
                        <w:rPr>
                          <w:rFonts w:cstheme="minorHAnsi"/>
                        </w:rPr>
                        <w:fldChar w:fldCharType="end"/>
                      </w:r>
                      <w:r w:rsidRPr="005F3DC1">
                        <w:rPr>
                          <w:rFonts w:cstheme="minorHAnsi"/>
                        </w:rPr>
                        <w:t xml:space="preserve"> or by e-mail, </w:t>
                      </w:r>
                      <w:r>
                        <w:rPr>
                          <w:rFonts w:cstheme="minorHAnsi"/>
                        </w:rPr>
                        <w:fldChar w:fldCharType="begin">
                          <w:ffData>
                            <w:name w:val="Text7"/>
                            <w:enabled/>
                            <w:calcOnExit w:val="0"/>
                            <w:textInput>
                              <w:default w:val="name@organization.org"/>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name@organization.org</w:t>
                      </w:r>
                      <w:r>
                        <w:rPr>
                          <w:rFonts w:cstheme="minorHAnsi"/>
                        </w:rPr>
                        <w:fldChar w:fldCharType="end"/>
                      </w:r>
                      <w:r w:rsidRPr="005F3DC1">
                        <w:rPr>
                          <w:rFonts w:cstheme="minorHAnsi"/>
                        </w:rPr>
                        <w:t>.</w:t>
                      </w:r>
                    </w:p>
                  </w:txbxContent>
                </v:textbox>
                <w10:wrap type="square"/>
              </v:shape>
            </w:pict>
          </mc:Fallback>
        </mc:AlternateContent>
      </w:r>
      <w:r w:rsidR="00341B03">
        <w:rPr>
          <w:i/>
          <w:noProof/>
        </w:rPr>
        <w:drawing>
          <wp:anchor distT="0" distB="0" distL="114300" distR="114300" simplePos="0" relativeHeight="251658239" behindDoc="1" locked="0" layoutInCell="1" allowOverlap="1" wp14:anchorId="2DA4A809" wp14:editId="30807690">
            <wp:simplePos x="0" y="0"/>
            <wp:positionH relativeFrom="column">
              <wp:posOffset>-467360</wp:posOffset>
            </wp:positionH>
            <wp:positionV relativeFrom="paragraph">
              <wp:posOffset>-435935</wp:posOffset>
            </wp:positionV>
            <wp:extent cx="7823347" cy="3902149"/>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lloquence-OQMZwNd3ThU-unsplash.jpg"/>
                    <pic:cNvPicPr/>
                  </pic:nvPicPr>
                  <pic:blipFill rotWithShape="1">
                    <a:blip r:embed="rId8" cstate="print">
                      <a:extLst>
                        <a:ext uri="{28A0092B-C50C-407E-A947-70E740481C1C}">
                          <a14:useLocalDpi xmlns:a14="http://schemas.microsoft.com/office/drawing/2010/main" val="0"/>
                        </a:ext>
                      </a:extLst>
                    </a:blip>
                    <a:srcRect l="272" t="9570" r="-272" b="15691"/>
                    <a:stretch/>
                  </pic:blipFill>
                  <pic:spPr bwMode="auto">
                    <a:xfrm>
                      <a:off x="0" y="0"/>
                      <a:ext cx="7824144" cy="39025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41B03">
        <w:rPr>
          <w:noProof/>
        </w:rPr>
        <mc:AlternateContent>
          <mc:Choice Requires="wps">
            <w:drawing>
              <wp:anchor distT="0" distB="0" distL="114300" distR="114300" simplePos="0" relativeHeight="251657214" behindDoc="0" locked="0" layoutInCell="1" allowOverlap="1" wp14:anchorId="49521063" wp14:editId="07427899">
                <wp:simplePos x="0" y="0"/>
                <wp:positionH relativeFrom="column">
                  <wp:posOffset>-457200</wp:posOffset>
                </wp:positionH>
                <wp:positionV relativeFrom="paragraph">
                  <wp:posOffset>1850065</wp:posOffset>
                </wp:positionV>
                <wp:extent cx="7814310" cy="2030095"/>
                <wp:effectExtent l="0" t="0" r="8890" b="1905"/>
                <wp:wrapThrough wrapText="bothSides">
                  <wp:wrapPolygon edited="0">
                    <wp:start x="0" y="0"/>
                    <wp:lineTo x="0" y="21350"/>
                    <wp:lineTo x="21554" y="21350"/>
                    <wp:lineTo x="21554" y="0"/>
                    <wp:lineTo x="0" y="0"/>
                  </wp:wrapPolygon>
                </wp:wrapThrough>
                <wp:docPr id="5" name="Rectangle 5"/>
                <wp:cNvGraphicFramePr/>
                <a:graphic xmlns:a="http://schemas.openxmlformats.org/drawingml/2006/main">
                  <a:graphicData uri="http://schemas.microsoft.com/office/word/2010/wordprocessingShape">
                    <wps:wsp>
                      <wps:cNvSpPr/>
                      <wps:spPr>
                        <a:xfrm>
                          <a:off x="0" y="0"/>
                          <a:ext cx="7814310" cy="2030095"/>
                        </a:xfrm>
                        <a:prstGeom prst="rect">
                          <a:avLst/>
                        </a:prstGeom>
                        <a:gradFill>
                          <a:gsLst>
                            <a:gs pos="0">
                              <a:schemeClr val="bg1">
                                <a:alpha val="0"/>
                              </a:schemeClr>
                            </a:gs>
                            <a:gs pos="60000">
                              <a:schemeClr val="bg1"/>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FDA14" id="Rectangle 5" o:spid="_x0000_s1026" style="position:absolute;margin-left:-36pt;margin-top:145.65pt;width:615.3pt;height:159.8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" fillcolor="white [3212]" stroked="f" strokeweight="1pt">
                <v:fill color2="white [3212]" o:opacity2="0" colors="0 white;39322f white" focus="100%" type="gradient"/>
                <w10:wrap type="through"/>
              </v:rect>
            </w:pict>
          </mc:Fallback>
        </mc:AlternateContent>
      </w:r>
      <w:r w:rsidR="00341B03">
        <w:rPr>
          <w:noProof/>
        </w:rPr>
        <mc:AlternateContent>
          <mc:Choice Requires="wps">
            <w:drawing>
              <wp:anchor distT="0" distB="0" distL="114300" distR="114300" simplePos="0" relativeHeight="251656189" behindDoc="0" locked="0" layoutInCell="1" allowOverlap="1" wp14:anchorId="589B2C2A" wp14:editId="03BCE413">
                <wp:simplePos x="0" y="0"/>
                <wp:positionH relativeFrom="column">
                  <wp:posOffset>-457200</wp:posOffset>
                </wp:positionH>
                <wp:positionV relativeFrom="paragraph">
                  <wp:posOffset>1828800</wp:posOffset>
                </wp:positionV>
                <wp:extent cx="7814310" cy="2030095"/>
                <wp:effectExtent l="0" t="0" r="8890" b="1905"/>
                <wp:wrapThrough wrapText="bothSides">
                  <wp:wrapPolygon edited="0">
                    <wp:start x="0" y="0"/>
                    <wp:lineTo x="0" y="21350"/>
                    <wp:lineTo x="21554" y="21350"/>
                    <wp:lineTo x="21554" y="0"/>
                    <wp:lineTo x="0" y="0"/>
                  </wp:wrapPolygon>
                </wp:wrapThrough>
                <wp:docPr id="4" name="Rectangle 4"/>
                <wp:cNvGraphicFramePr/>
                <a:graphic xmlns:a="http://schemas.openxmlformats.org/drawingml/2006/main">
                  <a:graphicData uri="http://schemas.microsoft.com/office/word/2010/wordprocessingShape">
                    <wps:wsp>
                      <wps:cNvSpPr/>
                      <wps:spPr>
                        <a:xfrm>
                          <a:off x="0" y="0"/>
                          <a:ext cx="7814310" cy="2030095"/>
                        </a:xfrm>
                        <a:prstGeom prst="rect">
                          <a:avLst/>
                        </a:prstGeom>
                        <a:gradFill>
                          <a:gsLst>
                            <a:gs pos="0">
                              <a:schemeClr val="bg1">
                                <a:alpha val="0"/>
                              </a:schemeClr>
                            </a:gs>
                            <a:gs pos="60000">
                              <a:schemeClr val="bg1"/>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12D930" id="Rectangle 4" o:spid="_x0000_s1026" style="position:absolute;margin-left:-36pt;margin-top:2in;width:615.3pt;height:159.8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" fillcolor="white [3212]" stroked="f" strokeweight="1pt">
                <v:fill color2="white [3212]" o:opacity2="0" colors="0 white;39322f white" focus="100%" type="gradient"/>
                <w10:wrap type="through"/>
              </v:rect>
            </w:pict>
          </mc:Fallback>
        </mc:AlternateContent>
      </w:r>
      <w:r w:rsidR="007E1ED0">
        <w:rPr>
          <w:i/>
          <w:noProof/>
        </w:rPr>
        <w:drawing>
          <wp:anchor distT="0" distB="0" distL="114300" distR="114300" simplePos="0" relativeHeight="251662336" behindDoc="1" locked="0" layoutInCell="1" allowOverlap="1" wp14:anchorId="3A2E54F0" wp14:editId="1BFF76E4">
            <wp:simplePos x="0" y="0"/>
            <wp:positionH relativeFrom="column">
              <wp:posOffset>-467833</wp:posOffset>
            </wp:positionH>
            <wp:positionV relativeFrom="paragraph">
              <wp:posOffset>-457201</wp:posOffset>
            </wp:positionV>
            <wp:extent cx="7823347" cy="3902149"/>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lloquence-OQMZwNd3ThU-unsplash.jpg"/>
                    <pic:cNvPicPr/>
                  </pic:nvPicPr>
                  <pic:blipFill rotWithShape="1">
                    <a:blip r:embed="rId8" cstate="print">
                      <a:extLst>
                        <a:ext uri="{28A0092B-C50C-407E-A947-70E740481C1C}">
                          <a14:useLocalDpi xmlns:a14="http://schemas.microsoft.com/office/drawing/2010/main" val="0"/>
                        </a:ext>
                      </a:extLst>
                    </a:blip>
                    <a:srcRect l="272" t="9570" r="-272" b="15691"/>
                    <a:stretch/>
                  </pic:blipFill>
                  <pic:spPr bwMode="auto">
                    <a:xfrm>
                      <a:off x="0" y="0"/>
                      <a:ext cx="7824144" cy="39025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F117F" w:rsidRPr="00D2075E">
        <w:br/>
      </w:r>
    </w:p>
    <w:sectPr w:rsidR="005F3DC1" w:rsidRPr="005F3DC1" w:rsidSect="007E1ED0">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03D6C" w14:textId="77777777" w:rsidR="005D1663" w:rsidRDefault="005D1663" w:rsidP="004D2E20">
      <w:pPr>
        <w:spacing w:after="0" w:line="240" w:lineRule="auto"/>
      </w:pPr>
      <w:r>
        <w:separator/>
      </w:r>
    </w:p>
  </w:endnote>
  <w:endnote w:type="continuationSeparator" w:id="0">
    <w:p w14:paraId="445E2ABF" w14:textId="77777777" w:rsidR="005D1663" w:rsidRDefault="005D1663" w:rsidP="004D2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D84F8" w14:textId="77777777" w:rsidR="005D1663" w:rsidRDefault="005D1663" w:rsidP="004D2E20">
      <w:pPr>
        <w:spacing w:after="0" w:line="240" w:lineRule="auto"/>
      </w:pPr>
      <w:r>
        <w:separator/>
      </w:r>
    </w:p>
  </w:footnote>
  <w:footnote w:type="continuationSeparator" w:id="0">
    <w:p w14:paraId="3911A4F1" w14:textId="77777777" w:rsidR="005D1663" w:rsidRDefault="005D1663" w:rsidP="004D2E2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ACCD4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C487A"/>
    <w:multiLevelType w:val="hybridMultilevel"/>
    <w:tmpl w:val="4D12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117975"/>
    <w:multiLevelType w:val="hybridMultilevel"/>
    <w:tmpl w:val="9098C054"/>
    <w:lvl w:ilvl="0" w:tplc="DA5A4D4A">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F03470"/>
    <w:multiLevelType w:val="hybridMultilevel"/>
    <w:tmpl w:val="C982F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ocumentProtection w:edit="forms" w:enforcement="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C82"/>
    <w:rsid w:val="00077158"/>
    <w:rsid w:val="00152918"/>
    <w:rsid w:val="001842F2"/>
    <w:rsid w:val="0018631F"/>
    <w:rsid w:val="00293DF5"/>
    <w:rsid w:val="00295134"/>
    <w:rsid w:val="002A5D2B"/>
    <w:rsid w:val="002B7D04"/>
    <w:rsid w:val="00316F35"/>
    <w:rsid w:val="00341B03"/>
    <w:rsid w:val="0037738A"/>
    <w:rsid w:val="0038239A"/>
    <w:rsid w:val="003A3B6F"/>
    <w:rsid w:val="003D193E"/>
    <w:rsid w:val="003E0AAC"/>
    <w:rsid w:val="003E2DA4"/>
    <w:rsid w:val="00441042"/>
    <w:rsid w:val="00457386"/>
    <w:rsid w:val="004633E7"/>
    <w:rsid w:val="004D2E20"/>
    <w:rsid w:val="005350C3"/>
    <w:rsid w:val="005A222C"/>
    <w:rsid w:val="005D1663"/>
    <w:rsid w:val="005F3DC1"/>
    <w:rsid w:val="00613CFE"/>
    <w:rsid w:val="0065417F"/>
    <w:rsid w:val="00682FEC"/>
    <w:rsid w:val="006975DE"/>
    <w:rsid w:val="006C2961"/>
    <w:rsid w:val="007273C9"/>
    <w:rsid w:val="00796F83"/>
    <w:rsid w:val="007B236D"/>
    <w:rsid w:val="007E1ED0"/>
    <w:rsid w:val="00872934"/>
    <w:rsid w:val="00884B60"/>
    <w:rsid w:val="008E53B6"/>
    <w:rsid w:val="008F293B"/>
    <w:rsid w:val="008F6787"/>
    <w:rsid w:val="00904889"/>
    <w:rsid w:val="009B25F1"/>
    <w:rsid w:val="009F117F"/>
    <w:rsid w:val="009F2A09"/>
    <w:rsid w:val="00A05CF0"/>
    <w:rsid w:val="00A24A67"/>
    <w:rsid w:val="00AF4D89"/>
    <w:rsid w:val="00B11569"/>
    <w:rsid w:val="00B133E4"/>
    <w:rsid w:val="00B27C26"/>
    <w:rsid w:val="00B957E1"/>
    <w:rsid w:val="00BC738F"/>
    <w:rsid w:val="00BE0B10"/>
    <w:rsid w:val="00C70CC4"/>
    <w:rsid w:val="00C71227"/>
    <w:rsid w:val="00C753C6"/>
    <w:rsid w:val="00C91922"/>
    <w:rsid w:val="00CD015A"/>
    <w:rsid w:val="00D43A98"/>
    <w:rsid w:val="00D56842"/>
    <w:rsid w:val="00DC3DA1"/>
    <w:rsid w:val="00DC483C"/>
    <w:rsid w:val="00EC6AC4"/>
    <w:rsid w:val="00ED4A20"/>
    <w:rsid w:val="00EF7679"/>
    <w:rsid w:val="00F26C82"/>
    <w:rsid w:val="00F732D7"/>
    <w:rsid w:val="00FE2B5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35E8"/>
  <w15:chartTrackingRefBased/>
  <w15:docId w15:val="{173A01CF-9BEC-49CC-A53A-A768DA9BC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26C82"/>
  </w:style>
  <w:style w:type="paragraph" w:styleId="Heading2">
    <w:name w:val="heading 2"/>
    <w:basedOn w:val="Normal"/>
    <w:next w:val="Normal"/>
    <w:link w:val="Heading2Char"/>
    <w:uiPriority w:val="9"/>
    <w:unhideWhenUsed/>
    <w:qFormat/>
    <w:rsid w:val="00FE2B5C"/>
    <w:pPr>
      <w:keepNext/>
      <w:keepLines/>
      <w:spacing w:before="40" w:after="0"/>
      <w:outlineLvl w:val="1"/>
    </w:pPr>
    <w:rPr>
      <w:rFonts w:asciiTheme="majorHAnsi" w:eastAsiaTheme="majorEastAsia" w:hAnsiTheme="majorHAnsi" w:cstheme="majorBidi"/>
      <w:color w:val="237055"/>
      <w:sz w:val="26"/>
      <w:szCs w:val="26"/>
    </w:rPr>
  </w:style>
  <w:style w:type="paragraph" w:styleId="Heading3">
    <w:name w:val="heading 3"/>
    <w:basedOn w:val="Normal"/>
    <w:next w:val="Normal"/>
    <w:link w:val="Heading3Char"/>
    <w:uiPriority w:val="9"/>
    <w:unhideWhenUsed/>
    <w:qFormat/>
    <w:rsid w:val="00872934"/>
    <w:pPr>
      <w:keepNext/>
      <w:keepLines/>
      <w:spacing w:before="40" w:after="0"/>
      <w:outlineLvl w:val="2"/>
    </w:pPr>
    <w:rPr>
      <w:rFonts w:ascii="Calibri" w:eastAsiaTheme="majorEastAsia" w:hAnsi="Calibr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E20"/>
  </w:style>
  <w:style w:type="paragraph" w:styleId="Footer">
    <w:name w:val="footer"/>
    <w:basedOn w:val="Normal"/>
    <w:link w:val="FooterChar"/>
    <w:uiPriority w:val="99"/>
    <w:unhideWhenUsed/>
    <w:rsid w:val="004D2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E20"/>
  </w:style>
  <w:style w:type="character" w:customStyle="1" w:styleId="Heading2Char">
    <w:name w:val="Heading 2 Char"/>
    <w:basedOn w:val="DefaultParagraphFont"/>
    <w:link w:val="Heading2"/>
    <w:uiPriority w:val="9"/>
    <w:rsid w:val="00FE2B5C"/>
    <w:rPr>
      <w:rFonts w:asciiTheme="majorHAnsi" w:eastAsiaTheme="majorEastAsia" w:hAnsiTheme="majorHAnsi" w:cstheme="majorBidi"/>
      <w:color w:val="237055"/>
      <w:sz w:val="26"/>
      <w:szCs w:val="26"/>
    </w:rPr>
  </w:style>
  <w:style w:type="paragraph" w:styleId="Quote">
    <w:name w:val="Quote"/>
    <w:basedOn w:val="Normal"/>
    <w:next w:val="Normal"/>
    <w:link w:val="QuoteChar"/>
    <w:uiPriority w:val="29"/>
    <w:qFormat/>
    <w:rsid w:val="004D2E20"/>
    <w:rPr>
      <w:i/>
      <w:sz w:val="28"/>
      <w:szCs w:val="28"/>
    </w:rPr>
  </w:style>
  <w:style w:type="character" w:customStyle="1" w:styleId="QuoteChar">
    <w:name w:val="Quote Char"/>
    <w:basedOn w:val="DefaultParagraphFont"/>
    <w:link w:val="Quote"/>
    <w:uiPriority w:val="29"/>
    <w:rsid w:val="004D2E20"/>
    <w:rPr>
      <w:i/>
      <w:sz w:val="28"/>
      <w:szCs w:val="28"/>
    </w:rPr>
  </w:style>
  <w:style w:type="character" w:customStyle="1" w:styleId="Heading3Char">
    <w:name w:val="Heading 3 Char"/>
    <w:basedOn w:val="DefaultParagraphFont"/>
    <w:link w:val="Heading3"/>
    <w:uiPriority w:val="9"/>
    <w:rsid w:val="00872934"/>
    <w:rPr>
      <w:rFonts w:ascii="Calibri" w:eastAsiaTheme="majorEastAsia" w:hAnsi="Calibri" w:cstheme="majorBidi"/>
      <w:b/>
      <w:bCs/>
      <w:color w:val="000000" w:themeColor="text1"/>
    </w:rPr>
  </w:style>
  <w:style w:type="paragraph" w:styleId="ListParagraph">
    <w:name w:val="List Paragraph"/>
    <w:basedOn w:val="Normal"/>
    <w:uiPriority w:val="34"/>
    <w:qFormat/>
    <w:rsid w:val="005F3DC1"/>
    <w:pPr>
      <w:ind w:left="720"/>
      <w:contextualSpacing/>
    </w:pPr>
  </w:style>
  <w:style w:type="paragraph" w:customStyle="1" w:styleId="BulletList">
    <w:name w:val="Bullet List"/>
    <w:basedOn w:val="ListParagraph"/>
    <w:qFormat/>
    <w:rsid w:val="005F3DC1"/>
    <w:pPr>
      <w:numPr>
        <w:numId w:val="4"/>
      </w:num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est">
      <a:majorFont>
        <a:latin typeface="Arial"/>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347AD9C-F61C-6845-88C1-82F4CFA5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Words>
  <Characters>9</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Wearing</dc:creator>
  <cp:keywords/>
  <dc:description/>
  <cp:lastModifiedBy>Julie Hess</cp:lastModifiedBy>
  <cp:revision>4</cp:revision>
  <cp:lastPrinted>2019-03-04T22:41:00Z</cp:lastPrinted>
  <dcterms:created xsi:type="dcterms:W3CDTF">2019-06-28T17:57:00Z</dcterms:created>
  <dcterms:modified xsi:type="dcterms:W3CDTF">2019-06-28T19:01:00Z</dcterms:modified>
</cp:coreProperties>
</file>